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160"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050"/>
        <w:gridCol w:w="1260"/>
        <w:gridCol w:w="4320"/>
      </w:tblGrid>
      <w:tr w:rsidR="00B54BA7" w:rsidRPr="00B54BA7" w14:paraId="27784920" w14:textId="77777777" w:rsidTr="00B54BA7">
        <w:trPr>
          <w:trHeight w:val="188"/>
          <w:jc w:val="center"/>
        </w:trPr>
        <w:tc>
          <w:tcPr>
            <w:tcW w:w="1530" w:type="dxa"/>
            <w:tcBorders>
              <w:top w:val="single" w:sz="4" w:space="0" w:color="auto"/>
              <w:left w:val="nil"/>
              <w:bottom w:val="nil"/>
              <w:right w:val="nil"/>
            </w:tcBorders>
          </w:tcPr>
          <w:p w14:paraId="16A41297" w14:textId="77777777" w:rsidR="00B54BA7" w:rsidRPr="00B54BA7" w:rsidRDefault="00B54BA7" w:rsidP="00B54BA7">
            <w:pPr>
              <w:rPr>
                <w:b/>
                <w:bCs/>
                <w:szCs w:val="24"/>
              </w:rPr>
            </w:pPr>
          </w:p>
        </w:tc>
        <w:tc>
          <w:tcPr>
            <w:tcW w:w="4050" w:type="dxa"/>
            <w:tcBorders>
              <w:top w:val="single" w:sz="4" w:space="0" w:color="auto"/>
              <w:left w:val="nil"/>
              <w:bottom w:val="nil"/>
              <w:right w:val="nil"/>
            </w:tcBorders>
          </w:tcPr>
          <w:p w14:paraId="2F69FB1B" w14:textId="77777777" w:rsidR="00B54BA7" w:rsidRDefault="00B54BA7" w:rsidP="00B54BA7">
            <w:pPr>
              <w:rPr>
                <w:szCs w:val="24"/>
              </w:rPr>
            </w:pPr>
          </w:p>
        </w:tc>
        <w:tc>
          <w:tcPr>
            <w:tcW w:w="1260" w:type="dxa"/>
            <w:tcBorders>
              <w:top w:val="single" w:sz="4" w:space="0" w:color="auto"/>
              <w:left w:val="nil"/>
              <w:bottom w:val="nil"/>
              <w:right w:val="nil"/>
            </w:tcBorders>
          </w:tcPr>
          <w:p w14:paraId="0FD302E5" w14:textId="77777777" w:rsidR="00B54BA7" w:rsidRPr="00B54BA7" w:rsidRDefault="00B54BA7" w:rsidP="00B54BA7">
            <w:pPr>
              <w:rPr>
                <w:b/>
                <w:bCs/>
                <w:szCs w:val="24"/>
              </w:rPr>
            </w:pPr>
          </w:p>
        </w:tc>
        <w:tc>
          <w:tcPr>
            <w:tcW w:w="4320" w:type="dxa"/>
            <w:tcBorders>
              <w:top w:val="single" w:sz="4" w:space="0" w:color="auto"/>
              <w:left w:val="nil"/>
              <w:bottom w:val="nil"/>
              <w:right w:val="nil"/>
            </w:tcBorders>
          </w:tcPr>
          <w:p w14:paraId="2D22B4A1" w14:textId="77777777" w:rsidR="00B54BA7" w:rsidRDefault="00B54BA7" w:rsidP="00B54BA7">
            <w:pPr>
              <w:rPr>
                <w:szCs w:val="24"/>
              </w:rPr>
            </w:pPr>
          </w:p>
        </w:tc>
      </w:tr>
      <w:tr w:rsidR="00B54BA7" w:rsidRPr="00B54BA7" w14:paraId="2BDD71FD" w14:textId="77777777" w:rsidTr="00B54BA7">
        <w:trPr>
          <w:trHeight w:val="548"/>
          <w:jc w:val="center"/>
        </w:trPr>
        <w:tc>
          <w:tcPr>
            <w:tcW w:w="1530" w:type="dxa"/>
            <w:tcBorders>
              <w:top w:val="nil"/>
              <w:left w:val="nil"/>
              <w:bottom w:val="nil"/>
              <w:right w:val="nil"/>
            </w:tcBorders>
          </w:tcPr>
          <w:p w14:paraId="281A95E5" w14:textId="59EF16AA" w:rsidR="00B54BA7" w:rsidRPr="00B54BA7" w:rsidRDefault="00B54BA7" w:rsidP="00B54BA7">
            <w:pPr>
              <w:rPr>
                <w:b/>
                <w:bCs/>
                <w:szCs w:val="24"/>
              </w:rPr>
            </w:pPr>
            <w:r w:rsidRPr="00B54BA7">
              <w:rPr>
                <w:b/>
                <w:bCs/>
                <w:szCs w:val="24"/>
              </w:rPr>
              <w:t>Provider:</w:t>
            </w:r>
          </w:p>
        </w:tc>
        <w:tc>
          <w:tcPr>
            <w:tcW w:w="4050" w:type="dxa"/>
            <w:tcBorders>
              <w:top w:val="nil"/>
              <w:left w:val="nil"/>
              <w:bottom w:val="nil"/>
              <w:right w:val="nil"/>
            </w:tcBorders>
          </w:tcPr>
          <w:p w14:paraId="1EF52C57" w14:textId="3380996A" w:rsidR="00B54BA7" w:rsidRPr="00B54BA7" w:rsidRDefault="00B54BA7" w:rsidP="00B54BA7">
            <w:pPr>
              <w:rPr>
                <w:szCs w:val="24"/>
              </w:rPr>
            </w:pPr>
            <w:r>
              <w:rPr>
                <w:szCs w:val="24"/>
              </w:rPr>
              <w:t>Strongwell</w:t>
            </w:r>
          </w:p>
        </w:tc>
        <w:tc>
          <w:tcPr>
            <w:tcW w:w="1260" w:type="dxa"/>
            <w:tcBorders>
              <w:top w:val="nil"/>
              <w:left w:val="nil"/>
              <w:bottom w:val="nil"/>
              <w:right w:val="nil"/>
            </w:tcBorders>
          </w:tcPr>
          <w:p w14:paraId="3EB2B749" w14:textId="09A5AA3D" w:rsidR="00B54BA7" w:rsidRPr="00B54BA7" w:rsidRDefault="00B54BA7" w:rsidP="00B54BA7">
            <w:pPr>
              <w:rPr>
                <w:b/>
                <w:bCs/>
                <w:szCs w:val="24"/>
              </w:rPr>
            </w:pPr>
            <w:r w:rsidRPr="00B54BA7">
              <w:rPr>
                <w:b/>
                <w:bCs/>
                <w:szCs w:val="24"/>
              </w:rPr>
              <w:t>Length:</w:t>
            </w:r>
          </w:p>
        </w:tc>
        <w:tc>
          <w:tcPr>
            <w:tcW w:w="4320" w:type="dxa"/>
            <w:tcBorders>
              <w:top w:val="nil"/>
              <w:left w:val="nil"/>
              <w:bottom w:val="nil"/>
              <w:right w:val="nil"/>
            </w:tcBorders>
          </w:tcPr>
          <w:p w14:paraId="692E2F67" w14:textId="5FBA9690" w:rsidR="00B54BA7" w:rsidRPr="00B54BA7" w:rsidRDefault="00B54BA7" w:rsidP="00B54BA7">
            <w:pPr>
              <w:rPr>
                <w:szCs w:val="24"/>
              </w:rPr>
            </w:pPr>
            <w:r>
              <w:rPr>
                <w:szCs w:val="24"/>
              </w:rPr>
              <w:t>1 hour</w:t>
            </w:r>
          </w:p>
        </w:tc>
      </w:tr>
      <w:tr w:rsidR="00B54BA7" w:rsidRPr="00B54BA7" w14:paraId="014CCEDD" w14:textId="77777777" w:rsidTr="00B54BA7">
        <w:trPr>
          <w:trHeight w:val="602"/>
          <w:jc w:val="center"/>
        </w:trPr>
        <w:tc>
          <w:tcPr>
            <w:tcW w:w="1530" w:type="dxa"/>
            <w:tcBorders>
              <w:top w:val="nil"/>
              <w:left w:val="nil"/>
              <w:bottom w:val="nil"/>
              <w:right w:val="nil"/>
            </w:tcBorders>
          </w:tcPr>
          <w:p w14:paraId="1676FE08" w14:textId="5FBC6310" w:rsidR="00B54BA7" w:rsidRPr="00B54BA7" w:rsidRDefault="00B54BA7" w:rsidP="00B54BA7">
            <w:pPr>
              <w:rPr>
                <w:b/>
                <w:bCs/>
                <w:szCs w:val="24"/>
              </w:rPr>
            </w:pPr>
            <w:r w:rsidRPr="00B54BA7">
              <w:rPr>
                <w:b/>
                <w:bCs/>
                <w:szCs w:val="24"/>
              </w:rPr>
              <w:t>Program #:</w:t>
            </w:r>
          </w:p>
        </w:tc>
        <w:tc>
          <w:tcPr>
            <w:tcW w:w="4050" w:type="dxa"/>
            <w:tcBorders>
              <w:top w:val="nil"/>
              <w:left w:val="nil"/>
              <w:bottom w:val="nil"/>
              <w:right w:val="nil"/>
            </w:tcBorders>
          </w:tcPr>
          <w:p w14:paraId="6DFC2E54" w14:textId="7EA01E6E" w:rsidR="00B54BA7" w:rsidRDefault="00B54BA7" w:rsidP="00B54BA7">
            <w:pPr>
              <w:rPr>
                <w:szCs w:val="24"/>
              </w:rPr>
            </w:pPr>
            <w:r>
              <w:rPr>
                <w:szCs w:val="24"/>
              </w:rPr>
              <w:t>SW1020GIRT</w:t>
            </w:r>
          </w:p>
        </w:tc>
        <w:tc>
          <w:tcPr>
            <w:tcW w:w="1260" w:type="dxa"/>
            <w:tcBorders>
              <w:top w:val="nil"/>
              <w:left w:val="nil"/>
              <w:bottom w:val="nil"/>
              <w:right w:val="nil"/>
            </w:tcBorders>
          </w:tcPr>
          <w:p w14:paraId="7E8A39E8" w14:textId="3126FA5C" w:rsidR="00B54BA7" w:rsidRPr="00B54BA7" w:rsidRDefault="00B54BA7" w:rsidP="00B54BA7">
            <w:pPr>
              <w:rPr>
                <w:b/>
                <w:bCs/>
                <w:szCs w:val="24"/>
              </w:rPr>
            </w:pPr>
            <w:r w:rsidRPr="00B54BA7">
              <w:rPr>
                <w:b/>
                <w:bCs/>
                <w:szCs w:val="24"/>
              </w:rPr>
              <w:t>Credits:</w:t>
            </w:r>
          </w:p>
        </w:tc>
        <w:tc>
          <w:tcPr>
            <w:tcW w:w="4320" w:type="dxa"/>
            <w:tcBorders>
              <w:top w:val="nil"/>
              <w:left w:val="nil"/>
              <w:bottom w:val="nil"/>
              <w:right w:val="nil"/>
            </w:tcBorders>
          </w:tcPr>
          <w:p w14:paraId="17DC80FB" w14:textId="0723E2C6" w:rsidR="00B54BA7" w:rsidRPr="00B54BA7" w:rsidRDefault="00B54BA7" w:rsidP="00B54BA7">
            <w:pPr>
              <w:rPr>
                <w:szCs w:val="24"/>
              </w:rPr>
            </w:pPr>
            <w:r>
              <w:rPr>
                <w:szCs w:val="24"/>
              </w:rPr>
              <w:t>1 LU / HSW hour</w:t>
            </w:r>
          </w:p>
        </w:tc>
      </w:tr>
      <w:tr w:rsidR="00B54BA7" w:rsidRPr="00B54BA7" w14:paraId="39BE6A77" w14:textId="77777777" w:rsidTr="00B54BA7">
        <w:trPr>
          <w:trHeight w:val="818"/>
          <w:jc w:val="center"/>
        </w:trPr>
        <w:tc>
          <w:tcPr>
            <w:tcW w:w="1530" w:type="dxa"/>
            <w:tcBorders>
              <w:top w:val="nil"/>
              <w:left w:val="nil"/>
              <w:bottom w:val="single" w:sz="4" w:space="0" w:color="auto"/>
              <w:right w:val="nil"/>
            </w:tcBorders>
          </w:tcPr>
          <w:p w14:paraId="319F14E9" w14:textId="50CB5B7F" w:rsidR="00B54BA7" w:rsidRPr="00B54BA7" w:rsidRDefault="00B54BA7" w:rsidP="00B54BA7">
            <w:pPr>
              <w:rPr>
                <w:b/>
                <w:bCs/>
                <w:szCs w:val="24"/>
              </w:rPr>
            </w:pPr>
            <w:r w:rsidRPr="00B54BA7">
              <w:rPr>
                <w:b/>
                <w:bCs/>
                <w:szCs w:val="24"/>
              </w:rPr>
              <w:t>Program:</w:t>
            </w:r>
          </w:p>
        </w:tc>
        <w:tc>
          <w:tcPr>
            <w:tcW w:w="4050" w:type="dxa"/>
            <w:tcBorders>
              <w:top w:val="nil"/>
              <w:left w:val="nil"/>
              <w:bottom w:val="single" w:sz="4" w:space="0" w:color="auto"/>
              <w:right w:val="nil"/>
            </w:tcBorders>
          </w:tcPr>
          <w:p w14:paraId="3EF20437" w14:textId="46D48411" w:rsidR="00B54BA7" w:rsidRDefault="00B54BA7" w:rsidP="00B54BA7">
            <w:pPr>
              <w:rPr>
                <w:szCs w:val="24"/>
              </w:rPr>
            </w:pPr>
            <w:r w:rsidRPr="00B54BA7">
              <w:rPr>
                <w:szCs w:val="24"/>
              </w:rPr>
              <w:t>Introduction to Pultruded FRP Façade Attachment Systems</w:t>
            </w:r>
          </w:p>
        </w:tc>
        <w:tc>
          <w:tcPr>
            <w:tcW w:w="1260" w:type="dxa"/>
            <w:tcBorders>
              <w:top w:val="nil"/>
              <w:left w:val="nil"/>
              <w:bottom w:val="single" w:sz="4" w:space="0" w:color="auto"/>
              <w:right w:val="nil"/>
            </w:tcBorders>
          </w:tcPr>
          <w:p w14:paraId="65987617" w14:textId="72EBBE4B" w:rsidR="00B54BA7" w:rsidRPr="00B54BA7" w:rsidRDefault="00B54BA7" w:rsidP="00B54BA7">
            <w:pPr>
              <w:rPr>
                <w:b/>
                <w:bCs/>
                <w:szCs w:val="24"/>
              </w:rPr>
            </w:pPr>
            <w:r w:rsidRPr="00B54BA7">
              <w:rPr>
                <w:b/>
                <w:bCs/>
                <w:szCs w:val="24"/>
              </w:rPr>
              <w:t>HSW:</w:t>
            </w:r>
          </w:p>
        </w:tc>
        <w:tc>
          <w:tcPr>
            <w:tcW w:w="4320" w:type="dxa"/>
            <w:tcBorders>
              <w:top w:val="nil"/>
              <w:left w:val="nil"/>
              <w:bottom w:val="single" w:sz="4" w:space="0" w:color="auto"/>
              <w:right w:val="nil"/>
            </w:tcBorders>
          </w:tcPr>
          <w:p w14:paraId="24F72E78" w14:textId="0FDC320B" w:rsidR="00B54BA7" w:rsidRPr="00B54BA7" w:rsidRDefault="00B54BA7" w:rsidP="00B54BA7">
            <w:pPr>
              <w:rPr>
                <w:szCs w:val="24"/>
              </w:rPr>
            </w:pPr>
            <w:r>
              <w:rPr>
                <w:szCs w:val="24"/>
              </w:rPr>
              <w:t>Yes</w:t>
            </w:r>
          </w:p>
        </w:tc>
      </w:tr>
    </w:tbl>
    <w:p w14:paraId="5C2EEBD0" w14:textId="77777777" w:rsidR="00891FE2" w:rsidRPr="00891FE2" w:rsidRDefault="00891FE2" w:rsidP="00891FE2">
      <w:pPr>
        <w:rPr>
          <w:b/>
          <w:bCs/>
          <w:sz w:val="2"/>
          <w:szCs w:val="2"/>
        </w:rPr>
      </w:pPr>
    </w:p>
    <w:p w14:paraId="5019CCA3" w14:textId="435C7299" w:rsidR="00891FE2" w:rsidRPr="00891FE2" w:rsidRDefault="00891FE2" w:rsidP="00891FE2">
      <w:pPr>
        <w:rPr>
          <w:sz w:val="20"/>
          <w:szCs w:val="18"/>
        </w:rPr>
      </w:pPr>
      <w:r w:rsidRPr="00891FE2">
        <w:rPr>
          <w:b/>
          <w:bCs/>
          <w:sz w:val="20"/>
          <w:szCs w:val="18"/>
        </w:rPr>
        <w:t>Description:</w:t>
      </w:r>
      <w:r w:rsidRPr="00891FE2">
        <w:rPr>
          <w:sz w:val="20"/>
          <w:szCs w:val="18"/>
        </w:rPr>
        <w:t xml:space="preserve"> </w:t>
      </w:r>
      <w:r w:rsidRPr="00891FE2">
        <w:rPr>
          <w:sz w:val="20"/>
          <w:szCs w:val="18"/>
        </w:rPr>
        <w:t xml:space="preserve">In this session, Architects, Engineers, and Designers who work with exterior cladding systems will receive an introduction to pultruded fiber-reinforced polymer (FRP) composites and their characteristics as structural building materials. Using this information, session participants will be able to demonstrate how FRP girts can be used for a cladding support structure and simultaneously create a thermally efficient wall. Participants will be able to define continuous insulation (CI) systems per ASHRAE 90.1 and differentiate FRP CI systems vs. traditional steel girt systems. Finally, participants will be able to obtain the necessary design resources to integrate FRP CI systems in future projects. </w:t>
      </w:r>
    </w:p>
    <w:p w14:paraId="3C6FB3B1" w14:textId="60FDD954" w:rsidR="00891FE2" w:rsidRPr="00891FE2" w:rsidRDefault="00891FE2" w:rsidP="00891FE2">
      <w:pPr>
        <w:rPr>
          <w:sz w:val="20"/>
          <w:szCs w:val="18"/>
        </w:rPr>
      </w:pPr>
      <w:r w:rsidRPr="00891FE2">
        <w:rPr>
          <w:b/>
          <w:bCs/>
          <w:sz w:val="20"/>
          <w:szCs w:val="18"/>
        </w:rPr>
        <w:t>Learning Objectives:</w:t>
      </w:r>
      <w:r w:rsidRPr="00891FE2">
        <w:rPr>
          <w:sz w:val="20"/>
          <w:szCs w:val="18"/>
        </w:rPr>
        <w:t xml:space="preserve"> Once completing this course, p</w:t>
      </w:r>
      <w:r w:rsidRPr="00891FE2">
        <w:rPr>
          <w:sz w:val="20"/>
          <w:szCs w:val="18"/>
        </w:rPr>
        <w:t>articipants will be able to</w:t>
      </w:r>
      <w:r w:rsidRPr="00891FE2">
        <w:rPr>
          <w:sz w:val="20"/>
          <w:szCs w:val="18"/>
        </w:rPr>
        <w:t>:</w:t>
      </w:r>
    </w:p>
    <w:p w14:paraId="174969E4" w14:textId="563FADF8" w:rsidR="00891FE2" w:rsidRPr="00891FE2" w:rsidRDefault="00891FE2" w:rsidP="00891FE2">
      <w:pPr>
        <w:pStyle w:val="ListParagraph"/>
        <w:numPr>
          <w:ilvl w:val="0"/>
          <w:numId w:val="1"/>
        </w:numPr>
        <w:rPr>
          <w:sz w:val="20"/>
          <w:szCs w:val="18"/>
        </w:rPr>
      </w:pPr>
      <w:r w:rsidRPr="00891FE2">
        <w:rPr>
          <w:sz w:val="20"/>
          <w:szCs w:val="18"/>
        </w:rPr>
        <w:t>describe the beneficial characteristics of pultruded fiber-reinforced polymer (FRP) composites used as building materials, including how this will impact the user’s experience living/working in the building.</w:t>
      </w:r>
    </w:p>
    <w:p w14:paraId="43B153B2" w14:textId="12EE0D6C" w:rsidR="00891FE2" w:rsidRPr="00891FE2" w:rsidRDefault="00891FE2" w:rsidP="00891FE2">
      <w:pPr>
        <w:pStyle w:val="ListParagraph"/>
        <w:numPr>
          <w:ilvl w:val="0"/>
          <w:numId w:val="1"/>
        </w:numPr>
        <w:rPr>
          <w:sz w:val="20"/>
          <w:szCs w:val="18"/>
        </w:rPr>
      </w:pPr>
      <w:r w:rsidRPr="00891FE2">
        <w:rPr>
          <w:sz w:val="20"/>
          <w:szCs w:val="18"/>
        </w:rPr>
        <w:t>identify the relevant codes and standards that apply when using FRP as a building material and discuss their application in common architectural designs.</w:t>
      </w:r>
    </w:p>
    <w:p w14:paraId="08134EF6" w14:textId="1A1DB70D" w:rsidR="00891FE2" w:rsidRPr="00891FE2" w:rsidRDefault="00891FE2" w:rsidP="00891FE2">
      <w:pPr>
        <w:pStyle w:val="ListParagraph"/>
        <w:numPr>
          <w:ilvl w:val="0"/>
          <w:numId w:val="1"/>
        </w:numPr>
        <w:rPr>
          <w:sz w:val="20"/>
          <w:szCs w:val="18"/>
        </w:rPr>
      </w:pPr>
      <w:r w:rsidRPr="00891FE2">
        <w:rPr>
          <w:sz w:val="20"/>
          <w:szCs w:val="18"/>
        </w:rPr>
        <w:t xml:space="preserve">demonstrate how FRP girts can be used for a cladding support structure and simultaneously create a thermally efficient wall, and specifically address how </w:t>
      </w:r>
      <w:proofErr w:type="gramStart"/>
      <w:r w:rsidRPr="00891FE2">
        <w:rPr>
          <w:sz w:val="20"/>
          <w:szCs w:val="18"/>
        </w:rPr>
        <w:t>this benefits occupants of the building</w:t>
      </w:r>
      <w:proofErr w:type="gramEnd"/>
      <w:r w:rsidRPr="00891FE2">
        <w:rPr>
          <w:sz w:val="20"/>
          <w:szCs w:val="18"/>
        </w:rPr>
        <w:t>.</w:t>
      </w:r>
    </w:p>
    <w:p w14:paraId="1DBFE5C0" w14:textId="03670B7B" w:rsidR="00891FE2" w:rsidRPr="00891FE2" w:rsidRDefault="00891FE2" w:rsidP="00891FE2">
      <w:pPr>
        <w:pStyle w:val="ListParagraph"/>
        <w:numPr>
          <w:ilvl w:val="0"/>
          <w:numId w:val="1"/>
        </w:numPr>
        <w:rPr>
          <w:sz w:val="20"/>
          <w:szCs w:val="18"/>
        </w:rPr>
      </w:pPr>
      <w:r w:rsidRPr="00891FE2">
        <w:rPr>
          <w:sz w:val="20"/>
          <w:szCs w:val="18"/>
        </w:rPr>
        <w:t>obtain and utilize the necessary design resources to integrate FRP CI systems in future projects to foster increased efficiency and longevity of structures for building owners and occupants.</w:t>
      </w:r>
    </w:p>
    <w:p w14:paraId="023D3215" w14:textId="302D2CBB" w:rsidR="00891FE2" w:rsidRPr="00891FE2" w:rsidRDefault="00891FE2" w:rsidP="00891FE2">
      <w:pPr>
        <w:rPr>
          <w:sz w:val="20"/>
          <w:szCs w:val="18"/>
        </w:rPr>
      </w:pPr>
      <w:r w:rsidRPr="00891FE2">
        <w:rPr>
          <w:b/>
          <w:bCs/>
          <w:sz w:val="20"/>
          <w:szCs w:val="18"/>
        </w:rPr>
        <w:t>Facilitator Qualifications:</w:t>
      </w:r>
      <w:r w:rsidRPr="00891FE2">
        <w:rPr>
          <w:sz w:val="20"/>
          <w:szCs w:val="18"/>
        </w:rPr>
        <w:t xml:space="preserve"> All </w:t>
      </w:r>
      <w:r w:rsidRPr="00891FE2">
        <w:rPr>
          <w:sz w:val="20"/>
          <w:szCs w:val="18"/>
        </w:rPr>
        <w:t>Strongwell</w:t>
      </w:r>
      <w:r w:rsidRPr="00891FE2">
        <w:rPr>
          <w:sz w:val="20"/>
          <w:szCs w:val="18"/>
        </w:rPr>
        <w:t xml:space="preserve"> CES facilitators / lecturers have extensive knowledge of the building technologies and materials </w:t>
      </w:r>
      <w:proofErr w:type="gramStart"/>
      <w:r w:rsidRPr="00891FE2">
        <w:rPr>
          <w:sz w:val="20"/>
          <w:szCs w:val="18"/>
        </w:rPr>
        <w:t>discussed, and</w:t>
      </w:r>
      <w:proofErr w:type="gramEnd"/>
      <w:r w:rsidRPr="00891FE2">
        <w:rPr>
          <w:sz w:val="20"/>
          <w:szCs w:val="18"/>
        </w:rPr>
        <w:t xml:space="preserve"> are considered </w:t>
      </w:r>
      <w:r w:rsidRPr="00891FE2">
        <w:rPr>
          <w:sz w:val="20"/>
          <w:szCs w:val="18"/>
        </w:rPr>
        <w:t xml:space="preserve">building façade </w:t>
      </w:r>
      <w:r w:rsidRPr="00891FE2">
        <w:rPr>
          <w:sz w:val="20"/>
          <w:szCs w:val="18"/>
        </w:rPr>
        <w:t>industry experts. They have also received general training on CES guidelines and presentation skills.</w:t>
      </w:r>
    </w:p>
    <w:p w14:paraId="00B708E1" w14:textId="63C97382" w:rsidR="00891FE2" w:rsidRPr="00891FE2" w:rsidRDefault="00891FE2" w:rsidP="00891FE2">
      <w:pPr>
        <w:rPr>
          <w:sz w:val="20"/>
          <w:szCs w:val="18"/>
        </w:rPr>
      </w:pPr>
      <w:r w:rsidRPr="00891FE2">
        <w:rPr>
          <w:b/>
          <w:bCs/>
          <w:sz w:val="20"/>
          <w:szCs w:val="18"/>
        </w:rPr>
        <w:t>Method of Delivery:</w:t>
      </w:r>
      <w:r w:rsidRPr="00891FE2">
        <w:rPr>
          <w:sz w:val="20"/>
          <w:szCs w:val="18"/>
        </w:rPr>
        <w:t xml:space="preserve"> The instructor utilizes a non-promotional PowerPoint presentation, case studies, and videos, to provide an in-depth overview of the topics under discussion. This is an interactive course encouraging participant input. Active cooperation and exchange of ideas is promoted </w:t>
      </w:r>
      <w:proofErr w:type="gramStart"/>
      <w:r w:rsidRPr="00891FE2">
        <w:rPr>
          <w:sz w:val="20"/>
          <w:szCs w:val="18"/>
        </w:rPr>
        <w:t>through the use of</w:t>
      </w:r>
      <w:proofErr w:type="gramEnd"/>
      <w:r w:rsidRPr="00891FE2">
        <w:rPr>
          <w:sz w:val="20"/>
          <w:szCs w:val="18"/>
        </w:rPr>
        <w:t xml:space="preserve"> relevant supportive materials, including samples.</w:t>
      </w:r>
    </w:p>
    <w:p w14:paraId="08DC4A87" w14:textId="77777777" w:rsidR="00891FE2" w:rsidRPr="00891FE2" w:rsidRDefault="00891FE2" w:rsidP="00891FE2">
      <w:pPr>
        <w:rPr>
          <w:sz w:val="20"/>
          <w:szCs w:val="18"/>
        </w:rPr>
      </w:pPr>
      <w:r w:rsidRPr="00891FE2">
        <w:rPr>
          <w:b/>
          <w:bCs/>
          <w:sz w:val="20"/>
          <w:szCs w:val="18"/>
        </w:rPr>
        <w:t>A/V Needs:</w:t>
      </w:r>
      <w:r w:rsidRPr="00891FE2">
        <w:rPr>
          <w:sz w:val="20"/>
          <w:szCs w:val="18"/>
        </w:rPr>
        <w:t xml:space="preserve"> Electrical power and screen and/or projector may be required; please coordinate specific A/V equipment requirements with the instructor.</w:t>
      </w:r>
    </w:p>
    <w:p w14:paraId="0623DCA8" w14:textId="77777777" w:rsidR="00891FE2" w:rsidRPr="00891FE2" w:rsidRDefault="00891FE2" w:rsidP="00891FE2">
      <w:pPr>
        <w:rPr>
          <w:sz w:val="20"/>
          <w:szCs w:val="18"/>
        </w:rPr>
      </w:pPr>
      <w:r w:rsidRPr="00891FE2">
        <w:rPr>
          <w:b/>
          <w:bCs/>
          <w:sz w:val="20"/>
          <w:szCs w:val="18"/>
        </w:rPr>
        <w:t>Target Audience:</w:t>
      </w:r>
      <w:r w:rsidRPr="00891FE2">
        <w:rPr>
          <w:sz w:val="20"/>
          <w:szCs w:val="18"/>
        </w:rPr>
        <w:t xml:space="preserve"> Architects, specifiers, facility managers, building owners, and other building and design professionals. Audience size depends on the available facilities and can be 15-60 people. This program is of intermediate educational </w:t>
      </w:r>
      <w:proofErr w:type="gramStart"/>
      <w:r w:rsidRPr="00891FE2">
        <w:rPr>
          <w:sz w:val="20"/>
          <w:szCs w:val="18"/>
        </w:rPr>
        <w:t>level, and</w:t>
      </w:r>
      <w:proofErr w:type="gramEnd"/>
      <w:r w:rsidRPr="00891FE2">
        <w:rPr>
          <w:sz w:val="20"/>
          <w:szCs w:val="18"/>
        </w:rPr>
        <w:t xml:space="preserve"> meets the needs of building professionals with various levels of expertise.</w:t>
      </w:r>
    </w:p>
    <w:p w14:paraId="696ABC24" w14:textId="3262370E" w:rsidR="00B5683B" w:rsidRPr="00891FE2" w:rsidRDefault="00891FE2" w:rsidP="00891FE2">
      <w:pPr>
        <w:rPr>
          <w:sz w:val="20"/>
          <w:szCs w:val="18"/>
        </w:rPr>
      </w:pPr>
      <w:r w:rsidRPr="00891FE2">
        <w:rPr>
          <w:b/>
          <w:bCs/>
          <w:sz w:val="20"/>
          <w:szCs w:val="18"/>
        </w:rPr>
        <w:t>Cost:</w:t>
      </w:r>
      <w:r w:rsidRPr="00891FE2">
        <w:rPr>
          <w:sz w:val="20"/>
          <w:szCs w:val="18"/>
        </w:rPr>
        <w:t xml:space="preserve"> This program is sponsored by </w:t>
      </w:r>
      <w:r w:rsidRPr="00891FE2">
        <w:rPr>
          <w:sz w:val="20"/>
          <w:szCs w:val="18"/>
        </w:rPr>
        <w:t>Strongwell</w:t>
      </w:r>
      <w:r w:rsidRPr="00891FE2">
        <w:rPr>
          <w:sz w:val="20"/>
          <w:szCs w:val="18"/>
        </w:rPr>
        <w:t>; there is no cost of attendance.</w:t>
      </w:r>
    </w:p>
    <w:sectPr w:rsidR="00B5683B" w:rsidRPr="00891FE2" w:rsidSect="00B54BA7">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DAE1C" w14:textId="77777777" w:rsidR="00314557" w:rsidRDefault="00314557" w:rsidP="00314557">
      <w:pPr>
        <w:spacing w:after="0" w:line="240" w:lineRule="auto"/>
      </w:pPr>
      <w:r>
        <w:separator/>
      </w:r>
    </w:p>
  </w:endnote>
  <w:endnote w:type="continuationSeparator" w:id="0">
    <w:p w14:paraId="63F7C676" w14:textId="77777777" w:rsidR="00314557" w:rsidRDefault="00314557" w:rsidP="00314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891FE2" w:rsidRPr="00891FE2" w14:paraId="64EA70EB" w14:textId="77777777" w:rsidTr="00891FE2">
      <w:tc>
        <w:tcPr>
          <w:tcW w:w="5395" w:type="dxa"/>
        </w:tcPr>
        <w:p w14:paraId="443E8C7F" w14:textId="42B680B5" w:rsidR="00891FE2" w:rsidRPr="00891FE2" w:rsidRDefault="00891FE2" w:rsidP="00891FE2">
          <w:pPr>
            <w:pStyle w:val="Footer"/>
            <w:rPr>
              <w:b/>
              <w:bCs/>
              <w:sz w:val="22"/>
              <w:szCs w:val="20"/>
            </w:rPr>
          </w:pPr>
          <w:r w:rsidRPr="00891FE2">
            <w:rPr>
              <w:b/>
              <w:bCs/>
              <w:sz w:val="22"/>
              <w:szCs w:val="20"/>
            </w:rPr>
            <w:t>strongwell.com</w:t>
          </w:r>
        </w:p>
      </w:tc>
      <w:tc>
        <w:tcPr>
          <w:tcW w:w="5395" w:type="dxa"/>
        </w:tcPr>
        <w:p w14:paraId="2EA0ABC5" w14:textId="07BF72FF" w:rsidR="00891FE2" w:rsidRPr="00891FE2" w:rsidRDefault="00891FE2" w:rsidP="00891FE2">
          <w:pPr>
            <w:pStyle w:val="Footer"/>
            <w:jc w:val="right"/>
            <w:rPr>
              <w:b/>
              <w:bCs/>
              <w:sz w:val="22"/>
              <w:szCs w:val="20"/>
            </w:rPr>
          </w:pPr>
          <w:r w:rsidRPr="00891FE2">
            <w:rPr>
              <w:b/>
              <w:bCs/>
              <w:sz w:val="22"/>
              <w:szCs w:val="20"/>
            </w:rPr>
            <w:t>strongirt.com</w:t>
          </w:r>
        </w:p>
      </w:tc>
    </w:tr>
  </w:tbl>
  <w:p w14:paraId="5D82E666" w14:textId="5792C8E9" w:rsidR="00891FE2" w:rsidRPr="00891FE2" w:rsidRDefault="00891FE2" w:rsidP="00891FE2">
    <w:pPr>
      <w:pStyle w:val="Footer"/>
      <w:rPr>
        <w:b/>
        <w:bCs/>
        <w:sz w:val="22"/>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8B1BF" w14:textId="77777777" w:rsidR="00314557" w:rsidRDefault="00314557" w:rsidP="00314557">
      <w:pPr>
        <w:spacing w:after="0" w:line="240" w:lineRule="auto"/>
      </w:pPr>
      <w:r>
        <w:separator/>
      </w:r>
    </w:p>
  </w:footnote>
  <w:footnote w:type="continuationSeparator" w:id="0">
    <w:p w14:paraId="0AD00729" w14:textId="77777777" w:rsidR="00314557" w:rsidRDefault="00314557" w:rsidP="00314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2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6395"/>
    </w:tblGrid>
    <w:tr w:rsidR="00314557" w14:paraId="50440981" w14:textId="77777777" w:rsidTr="00B54BA7">
      <w:trPr>
        <w:trHeight w:val="1170"/>
      </w:trPr>
      <w:tc>
        <w:tcPr>
          <w:tcW w:w="4855" w:type="dxa"/>
          <w:vAlign w:val="bottom"/>
        </w:tcPr>
        <w:p w14:paraId="27B6AF69" w14:textId="5DDA55E1" w:rsidR="00891FE2" w:rsidRDefault="00314557" w:rsidP="00314557">
          <w:pPr>
            <w:pStyle w:val="Header"/>
          </w:pPr>
          <w:r>
            <w:rPr>
              <w:noProof/>
            </w:rPr>
            <w:drawing>
              <wp:inline distT="0" distB="0" distL="0" distR="0" wp14:anchorId="4D3D3AAC" wp14:editId="4100AB21">
                <wp:extent cx="911478" cy="914400"/>
                <wp:effectExtent l="0" t="0" r="317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478" cy="914400"/>
                        </a:xfrm>
                        <a:prstGeom prst="rect">
                          <a:avLst/>
                        </a:prstGeom>
                        <a:noFill/>
                        <a:ln>
                          <a:noFill/>
                        </a:ln>
                      </pic:spPr>
                    </pic:pic>
                  </a:graphicData>
                </a:graphic>
              </wp:inline>
            </w:drawing>
          </w:r>
        </w:p>
      </w:tc>
      <w:tc>
        <w:tcPr>
          <w:tcW w:w="6395" w:type="dxa"/>
          <w:vAlign w:val="bottom"/>
        </w:tcPr>
        <w:p w14:paraId="267421DE" w14:textId="77777777" w:rsidR="00314557" w:rsidRDefault="00314557" w:rsidP="00314557">
          <w:pPr>
            <w:pStyle w:val="Header"/>
            <w:jc w:val="right"/>
          </w:pPr>
          <w:r>
            <w:rPr>
              <w:noProof/>
            </w:rPr>
            <w:drawing>
              <wp:inline distT="0" distB="0" distL="0" distR="0" wp14:anchorId="51B1F83D" wp14:editId="338D218A">
                <wp:extent cx="2286000" cy="794972"/>
                <wp:effectExtent l="0" t="0" r="0"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0" cy="794972"/>
                        </a:xfrm>
                        <a:prstGeom prst="rect">
                          <a:avLst/>
                        </a:prstGeom>
                        <a:noFill/>
                        <a:ln>
                          <a:noFill/>
                        </a:ln>
                      </pic:spPr>
                    </pic:pic>
                  </a:graphicData>
                </a:graphic>
              </wp:inline>
            </w:drawing>
          </w:r>
        </w:p>
      </w:tc>
    </w:tr>
  </w:tbl>
  <w:p w14:paraId="5D2D7B1E" w14:textId="1C1D6EC2" w:rsidR="00314557" w:rsidRDefault="00314557">
    <w:pPr>
      <w:pStyle w:val="Header"/>
    </w:pPr>
  </w:p>
  <w:p w14:paraId="0EEFAEA8" w14:textId="77777777" w:rsidR="00891FE2" w:rsidRPr="00B54BA7" w:rsidRDefault="00891FE2" w:rsidP="00891FE2">
    <w:pPr>
      <w:jc w:val="center"/>
      <w:rPr>
        <w:rFonts w:ascii="Arial Black" w:hAnsi="Arial Black"/>
        <w:sz w:val="28"/>
        <w:szCs w:val="24"/>
      </w:rPr>
    </w:pPr>
    <w:r w:rsidRPr="00B54BA7">
      <w:rPr>
        <w:rFonts w:ascii="Arial Black" w:hAnsi="Arial Black"/>
        <w:sz w:val="28"/>
        <w:szCs w:val="24"/>
      </w:rPr>
      <w:t>The American Institute of Architects</w:t>
    </w:r>
  </w:p>
  <w:p w14:paraId="17ED7DB6" w14:textId="498D30D2" w:rsidR="00891FE2" w:rsidRDefault="00891FE2" w:rsidP="00891FE2">
    <w:pPr>
      <w:jc w:val="center"/>
      <w:rPr>
        <w:b/>
        <w:bCs/>
      </w:rPr>
    </w:pPr>
    <w:r w:rsidRPr="00B54BA7">
      <w:rPr>
        <w:rFonts w:ascii="Arial Black" w:hAnsi="Arial Black"/>
        <w:sz w:val="28"/>
        <w:szCs w:val="24"/>
      </w:rPr>
      <w:t>Continuing Education Systems</w:t>
    </w:r>
  </w:p>
  <w:p w14:paraId="302ED009" w14:textId="0CFC63CC" w:rsidR="00891FE2" w:rsidRDefault="00891FE2" w:rsidP="00891FE2">
    <w:pPr>
      <w:pStyle w:val="Header"/>
      <w:jc w:val="center"/>
    </w:pPr>
    <w:r w:rsidRPr="00B54BA7">
      <w:rPr>
        <w:b/>
        <w:bCs/>
      </w:rPr>
      <w:t>AIA/CES Registered Provider SW1020GIRT Program Summary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7358F"/>
    <w:multiLevelType w:val="hybridMultilevel"/>
    <w:tmpl w:val="DDF4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557"/>
    <w:rsid w:val="00314557"/>
    <w:rsid w:val="00891FE2"/>
    <w:rsid w:val="00B54BA7"/>
    <w:rsid w:val="00B56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C7BC1"/>
  <w15:chartTrackingRefBased/>
  <w15:docId w15:val="{56CE6EB1-0FDE-4B79-8B2A-D1B17E34D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557"/>
  </w:style>
  <w:style w:type="paragraph" w:styleId="Footer">
    <w:name w:val="footer"/>
    <w:basedOn w:val="Normal"/>
    <w:link w:val="FooterChar"/>
    <w:uiPriority w:val="99"/>
    <w:unhideWhenUsed/>
    <w:rsid w:val="00314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557"/>
  </w:style>
  <w:style w:type="table" w:styleId="TableGrid">
    <w:name w:val="Table Grid"/>
    <w:basedOn w:val="TableNormal"/>
    <w:uiPriority w:val="39"/>
    <w:rsid w:val="00314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1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Barry</dc:creator>
  <cp:keywords/>
  <dc:description/>
  <cp:lastModifiedBy>Myers, Barry</cp:lastModifiedBy>
  <cp:revision>1</cp:revision>
  <dcterms:created xsi:type="dcterms:W3CDTF">2020-12-03T21:28:00Z</dcterms:created>
  <dcterms:modified xsi:type="dcterms:W3CDTF">2020-12-03T21:57:00Z</dcterms:modified>
</cp:coreProperties>
</file>